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69F" w:rsidRPr="00AF1443" w:rsidRDefault="003D2193" w:rsidP="003D2193">
      <w:pPr>
        <w:jc w:val="center"/>
        <w:rPr>
          <w:b/>
        </w:rPr>
      </w:pPr>
      <w:bookmarkStart w:id="0" w:name="_GoBack"/>
      <w:bookmarkEnd w:id="0"/>
      <w:r w:rsidRPr="00AF1443">
        <w:rPr>
          <w:b/>
        </w:rPr>
        <w:t>Chicago Style Citations – Notes and Bibliography Style</w:t>
      </w:r>
    </w:p>
    <w:p w:rsidR="003D2193" w:rsidRPr="00AF1443" w:rsidRDefault="003D2193"/>
    <w:tbl>
      <w:tblPr>
        <w:tblW w:w="108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0"/>
        <w:gridCol w:w="8490"/>
      </w:tblGrid>
      <w:tr w:rsidR="003D2193" w:rsidRPr="00AF1443" w:rsidTr="003D2193">
        <w:trPr>
          <w:tblCellSpacing w:w="0" w:type="dxa"/>
        </w:trPr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2193" w:rsidRPr="00AF1443" w:rsidRDefault="003D2193" w:rsidP="003D2193">
            <w:pPr>
              <w:spacing w:before="100" w:beforeAutospacing="1" w:after="100" w:afterAutospacing="1"/>
              <w:rPr>
                <w:rFonts w:eastAsia="Times New Roman"/>
                <w:szCs w:val="24"/>
              </w:rPr>
            </w:pPr>
            <w:r w:rsidRPr="00AF1443">
              <w:rPr>
                <w:rFonts w:eastAsia="Times New Roman"/>
                <w:b/>
                <w:bCs/>
                <w:szCs w:val="24"/>
              </w:rPr>
              <w:t>Material Type</w:t>
            </w:r>
          </w:p>
        </w:tc>
        <w:tc>
          <w:tcPr>
            <w:tcW w:w="8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2193" w:rsidRPr="00AF1443" w:rsidRDefault="003D2193" w:rsidP="003D2193">
            <w:pPr>
              <w:spacing w:before="100" w:beforeAutospacing="1" w:after="100" w:afterAutospacing="1"/>
              <w:rPr>
                <w:rFonts w:eastAsia="Times New Roman"/>
                <w:szCs w:val="24"/>
              </w:rPr>
            </w:pPr>
            <w:r w:rsidRPr="00AF1443">
              <w:rPr>
                <w:rFonts w:eastAsia="Times New Roman"/>
                <w:b/>
                <w:bCs/>
                <w:szCs w:val="24"/>
              </w:rPr>
              <w:t>Notes/Bibliography Style</w:t>
            </w:r>
          </w:p>
        </w:tc>
      </w:tr>
      <w:tr w:rsidR="003D2193" w:rsidRPr="00AF1443" w:rsidTr="003D2193">
        <w:trPr>
          <w:tblCellSpacing w:w="0" w:type="dxa"/>
        </w:trPr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2193" w:rsidRPr="00AF1443" w:rsidRDefault="003D2193" w:rsidP="003D2193">
            <w:pPr>
              <w:spacing w:before="100" w:beforeAutospacing="1" w:after="100" w:afterAutospacing="1"/>
              <w:rPr>
                <w:rFonts w:eastAsia="Times New Roman"/>
                <w:szCs w:val="24"/>
              </w:rPr>
            </w:pPr>
            <w:r w:rsidRPr="00AF1443">
              <w:rPr>
                <w:rFonts w:eastAsia="Times New Roman"/>
                <w:b/>
                <w:bCs/>
                <w:szCs w:val="24"/>
              </w:rPr>
              <w:t>A book in print</w:t>
            </w:r>
          </w:p>
        </w:tc>
        <w:tc>
          <w:tcPr>
            <w:tcW w:w="8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2193" w:rsidRPr="00AF1443" w:rsidRDefault="003D2193" w:rsidP="003D2193">
            <w:pPr>
              <w:spacing w:before="100" w:beforeAutospacing="1" w:after="100" w:afterAutospacing="1"/>
              <w:rPr>
                <w:rFonts w:eastAsia="Times New Roman"/>
                <w:szCs w:val="24"/>
              </w:rPr>
            </w:pPr>
            <w:r w:rsidRPr="00AF1443">
              <w:rPr>
                <w:rFonts w:eastAsia="Times New Roman"/>
                <w:szCs w:val="24"/>
                <w:u w:val="single"/>
              </w:rPr>
              <w:t xml:space="preserve">Note Style: </w:t>
            </w:r>
            <w:r w:rsidR="00AF1443">
              <w:rPr>
                <w:rFonts w:eastAsia="Times New Roman"/>
                <w:szCs w:val="24"/>
              </w:rPr>
              <w:t> </w:t>
            </w:r>
            <w:r w:rsidRPr="00AF1443">
              <w:rPr>
                <w:rFonts w:eastAsia="Times New Roman"/>
                <w:szCs w:val="24"/>
              </w:rPr>
              <w:t xml:space="preserve">Michael Pollan, </w:t>
            </w:r>
            <w:r w:rsidRPr="00AF1443">
              <w:rPr>
                <w:rFonts w:eastAsia="Times New Roman"/>
                <w:i/>
                <w:iCs/>
                <w:szCs w:val="24"/>
              </w:rPr>
              <w:t>The Omnivore's Dilemma: A Natural History of Four Meals</w:t>
            </w:r>
            <w:r w:rsidRPr="00AF1443">
              <w:rPr>
                <w:rFonts w:eastAsia="Times New Roman"/>
                <w:szCs w:val="24"/>
              </w:rPr>
              <w:t xml:space="preserve"> (New York: Penguin, 2006), 99–100.</w:t>
            </w:r>
          </w:p>
          <w:p w:rsidR="003D2193" w:rsidRPr="00AF1443" w:rsidRDefault="003D2193" w:rsidP="003D2193">
            <w:pPr>
              <w:spacing w:before="100" w:beforeAutospacing="1" w:after="100" w:afterAutospacing="1"/>
              <w:rPr>
                <w:rFonts w:eastAsia="Times New Roman"/>
                <w:szCs w:val="24"/>
              </w:rPr>
            </w:pPr>
            <w:r w:rsidRPr="00AF1443">
              <w:rPr>
                <w:rFonts w:eastAsia="Times New Roman"/>
                <w:szCs w:val="24"/>
                <w:u w:val="single"/>
              </w:rPr>
              <w:t xml:space="preserve">Duplicate Note: </w:t>
            </w:r>
            <w:r w:rsidR="00AF1443">
              <w:rPr>
                <w:rFonts w:eastAsia="Times New Roman"/>
                <w:szCs w:val="24"/>
              </w:rPr>
              <w:t> </w:t>
            </w:r>
            <w:r w:rsidRPr="00AF1443">
              <w:rPr>
                <w:rFonts w:eastAsia="Times New Roman"/>
                <w:szCs w:val="24"/>
              </w:rPr>
              <w:t xml:space="preserve">Pollan, </w:t>
            </w:r>
            <w:r w:rsidRPr="00AF1443">
              <w:rPr>
                <w:rFonts w:eastAsia="Times New Roman"/>
                <w:i/>
                <w:iCs/>
                <w:szCs w:val="24"/>
              </w:rPr>
              <w:t xml:space="preserve">Omnivore's Dilemma, </w:t>
            </w:r>
            <w:r w:rsidRPr="00AF1443">
              <w:rPr>
                <w:rFonts w:eastAsia="Times New Roman"/>
                <w:szCs w:val="24"/>
              </w:rPr>
              <w:t>3.</w:t>
            </w:r>
            <w:r w:rsidRPr="00AF1443">
              <w:rPr>
                <w:rFonts w:eastAsia="Times New Roman"/>
                <w:i/>
                <w:iCs/>
                <w:szCs w:val="24"/>
              </w:rPr>
              <w:t> </w:t>
            </w:r>
          </w:p>
          <w:p w:rsidR="003D2193" w:rsidRPr="00AF1443" w:rsidRDefault="003D2193" w:rsidP="003D2193">
            <w:pPr>
              <w:spacing w:before="100" w:beforeAutospacing="1" w:after="100" w:afterAutospacing="1"/>
              <w:rPr>
                <w:rFonts w:eastAsia="Times New Roman"/>
                <w:szCs w:val="24"/>
              </w:rPr>
            </w:pPr>
            <w:r w:rsidRPr="00AF1443">
              <w:rPr>
                <w:rFonts w:eastAsia="Times New Roman"/>
                <w:szCs w:val="24"/>
                <w:u w:val="single"/>
              </w:rPr>
              <w:t>Bibliography:</w:t>
            </w:r>
            <w:r w:rsidRPr="00AF1443">
              <w:rPr>
                <w:rFonts w:eastAsia="Times New Roman"/>
                <w:szCs w:val="24"/>
              </w:rPr>
              <w:t xml:space="preserve"> Pollan, Michael. </w:t>
            </w:r>
            <w:r w:rsidRPr="00AF1443">
              <w:rPr>
                <w:rFonts w:eastAsia="Times New Roman"/>
                <w:i/>
                <w:iCs/>
                <w:szCs w:val="24"/>
              </w:rPr>
              <w:t>The Omnivore's Dilemma: A Natural History of Four Meals</w:t>
            </w:r>
            <w:r w:rsidRPr="00AF1443">
              <w:rPr>
                <w:rFonts w:eastAsia="Times New Roman"/>
                <w:szCs w:val="24"/>
              </w:rPr>
              <w:t>. New York: Penguin, 2006.</w:t>
            </w:r>
          </w:p>
        </w:tc>
      </w:tr>
      <w:tr w:rsidR="00AF1443" w:rsidRPr="00AF1443" w:rsidTr="003D2193">
        <w:trPr>
          <w:tblCellSpacing w:w="0" w:type="dxa"/>
        </w:trPr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1443" w:rsidRPr="00AF1443" w:rsidRDefault="00AF1443" w:rsidP="003D2193">
            <w:pPr>
              <w:spacing w:before="100" w:beforeAutospacing="1" w:after="100" w:afterAutospacing="1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Two or more authors</w:t>
            </w:r>
          </w:p>
        </w:tc>
        <w:tc>
          <w:tcPr>
            <w:tcW w:w="8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1443" w:rsidRPr="00AF1443" w:rsidRDefault="00AF1443" w:rsidP="003D2193">
            <w:pPr>
              <w:spacing w:before="100" w:beforeAutospacing="1" w:after="100" w:afterAutospacing="1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  <w:u w:val="single"/>
              </w:rPr>
              <w:t>Note Style:</w:t>
            </w:r>
            <w:r>
              <w:rPr>
                <w:rFonts w:eastAsia="Times New Roman"/>
                <w:szCs w:val="24"/>
              </w:rPr>
              <w:t xml:space="preserve"> Geoffrey Ward and Ken Burns, </w:t>
            </w:r>
            <w:r w:rsidR="00973C78">
              <w:rPr>
                <w:rFonts w:eastAsia="Times New Roman"/>
                <w:i/>
                <w:iCs/>
                <w:szCs w:val="24"/>
              </w:rPr>
              <w:t xml:space="preserve">The War </w:t>
            </w:r>
            <w:r>
              <w:rPr>
                <w:rFonts w:eastAsia="Times New Roman"/>
                <w:szCs w:val="24"/>
              </w:rPr>
              <w:t>(New York: Knopf, 2007), 52.</w:t>
            </w:r>
          </w:p>
          <w:p w:rsidR="00AF1443" w:rsidRPr="00AF1443" w:rsidRDefault="00AF1443" w:rsidP="003D2193">
            <w:pPr>
              <w:spacing w:before="100" w:beforeAutospacing="1" w:after="100" w:afterAutospacing="1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  <w:u w:val="single"/>
              </w:rPr>
              <w:t>Duplicate Note:</w:t>
            </w:r>
            <w:r>
              <w:rPr>
                <w:rFonts w:eastAsia="Times New Roman"/>
                <w:szCs w:val="24"/>
              </w:rPr>
              <w:t xml:space="preserve"> Ward and Burns, </w:t>
            </w:r>
            <w:r w:rsidRPr="00AF1443">
              <w:rPr>
                <w:rFonts w:eastAsia="Times New Roman"/>
                <w:i/>
                <w:iCs/>
                <w:szCs w:val="24"/>
              </w:rPr>
              <w:t>War</w:t>
            </w:r>
            <w:r>
              <w:rPr>
                <w:rFonts w:eastAsia="Times New Roman"/>
                <w:szCs w:val="24"/>
              </w:rPr>
              <w:t>, 59-61.</w:t>
            </w:r>
          </w:p>
          <w:p w:rsidR="00AF1443" w:rsidRDefault="00AF1443" w:rsidP="003D2193">
            <w:pPr>
              <w:spacing w:before="100" w:beforeAutospacing="1" w:after="100" w:afterAutospacing="1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  <w:u w:val="single"/>
              </w:rPr>
              <w:t>Bibliography:</w:t>
            </w:r>
            <w:r>
              <w:rPr>
                <w:rFonts w:eastAsia="Times New Roman"/>
                <w:szCs w:val="24"/>
              </w:rPr>
              <w:t xml:space="preserve"> Ward, Geoffrey and Ken Burns. </w:t>
            </w:r>
            <w:r w:rsidR="00973C78">
              <w:rPr>
                <w:rFonts w:eastAsia="Times New Roman"/>
                <w:i/>
                <w:iCs/>
                <w:szCs w:val="24"/>
              </w:rPr>
              <w:t>The War</w:t>
            </w:r>
            <w:r>
              <w:rPr>
                <w:rFonts w:eastAsia="Times New Roman"/>
                <w:szCs w:val="24"/>
              </w:rPr>
              <w:t>. New York: Knopf, 2007.</w:t>
            </w:r>
          </w:p>
          <w:p w:rsidR="00AF1443" w:rsidRPr="00AF1443" w:rsidRDefault="00AF1443" w:rsidP="003D2193">
            <w:pPr>
              <w:spacing w:before="100" w:beforeAutospacing="1" w:after="100" w:afterAutospacing="1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For four or more authors, list all of the authors in the bibliography; in the note, list only the first author, followed by et al.</w:t>
            </w:r>
          </w:p>
        </w:tc>
      </w:tr>
      <w:tr w:rsidR="00601ED6" w:rsidRPr="00AF1443" w:rsidTr="003D2193">
        <w:trPr>
          <w:tblCellSpacing w:w="0" w:type="dxa"/>
        </w:trPr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ED6" w:rsidRPr="00AF1443" w:rsidRDefault="00601ED6" w:rsidP="003D2193">
            <w:pPr>
              <w:spacing w:before="100" w:beforeAutospacing="1" w:after="100" w:afterAutospacing="1"/>
              <w:rPr>
                <w:rFonts w:eastAsia="Times New Roman"/>
                <w:b/>
                <w:bCs/>
                <w:szCs w:val="24"/>
              </w:rPr>
            </w:pPr>
            <w:r w:rsidRPr="00AF1443">
              <w:rPr>
                <w:rFonts w:eastAsia="Times New Roman"/>
                <w:b/>
                <w:bCs/>
                <w:szCs w:val="24"/>
              </w:rPr>
              <w:t>Chapter in an edited book</w:t>
            </w:r>
          </w:p>
        </w:tc>
        <w:tc>
          <w:tcPr>
            <w:tcW w:w="8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ED6" w:rsidRPr="00AF1443" w:rsidRDefault="00601ED6" w:rsidP="003D2193">
            <w:pPr>
              <w:spacing w:before="100" w:beforeAutospacing="1" w:after="100" w:afterAutospacing="1"/>
              <w:rPr>
                <w:rFonts w:eastAsia="Times New Roman"/>
                <w:szCs w:val="24"/>
              </w:rPr>
            </w:pPr>
            <w:r w:rsidRPr="00AF1443">
              <w:rPr>
                <w:rFonts w:eastAsia="Times New Roman"/>
                <w:szCs w:val="24"/>
                <w:u w:val="single"/>
              </w:rPr>
              <w:t>Note Style:</w:t>
            </w:r>
            <w:r w:rsidR="00AF1443">
              <w:rPr>
                <w:rFonts w:eastAsia="Times New Roman"/>
                <w:szCs w:val="24"/>
              </w:rPr>
              <w:t xml:space="preserve"> </w:t>
            </w:r>
            <w:r w:rsidRPr="00AF1443">
              <w:rPr>
                <w:rFonts w:eastAsia="Times New Roman"/>
                <w:szCs w:val="24"/>
              </w:rPr>
              <w:t xml:space="preserve">James Rachels, “Active and Passive Euthanasia” in </w:t>
            </w:r>
            <w:r w:rsidRPr="00AF1443">
              <w:rPr>
                <w:rFonts w:eastAsia="Times New Roman"/>
                <w:i/>
                <w:iCs/>
                <w:szCs w:val="24"/>
              </w:rPr>
              <w:t>Biomedical Ethics</w:t>
            </w:r>
            <w:r w:rsidRPr="00AF1443">
              <w:rPr>
                <w:rFonts w:eastAsia="Times New Roman"/>
                <w:szCs w:val="24"/>
              </w:rPr>
              <w:t xml:space="preserve"> 7</w:t>
            </w:r>
            <w:r w:rsidRPr="00AF1443">
              <w:rPr>
                <w:rFonts w:eastAsia="Times New Roman"/>
                <w:szCs w:val="24"/>
                <w:vertAlign w:val="superscript"/>
              </w:rPr>
              <w:t>th</w:t>
            </w:r>
            <w:r w:rsidRPr="00AF1443">
              <w:rPr>
                <w:rFonts w:eastAsia="Times New Roman"/>
                <w:szCs w:val="24"/>
              </w:rPr>
              <w:t xml:space="preserve"> edition, ed. David DeGrazia, Thomas Mappes, and Jeffrey Brand-Ballard (New York: McGraw-Hill, 2011), 395-399.</w:t>
            </w:r>
          </w:p>
          <w:p w:rsidR="00601ED6" w:rsidRPr="00AF1443" w:rsidRDefault="00601ED6" w:rsidP="003D2193">
            <w:pPr>
              <w:spacing w:before="100" w:beforeAutospacing="1" w:after="100" w:afterAutospacing="1"/>
              <w:rPr>
                <w:rFonts w:eastAsia="Times New Roman"/>
                <w:szCs w:val="24"/>
              </w:rPr>
            </w:pPr>
            <w:r w:rsidRPr="00AF1443">
              <w:rPr>
                <w:rFonts w:eastAsia="Times New Roman"/>
                <w:szCs w:val="24"/>
                <w:u w:val="single"/>
              </w:rPr>
              <w:t>Duplicate Note</w:t>
            </w:r>
            <w:r w:rsidR="00AF1443">
              <w:rPr>
                <w:rFonts w:eastAsia="Times New Roman"/>
                <w:szCs w:val="24"/>
              </w:rPr>
              <w:t xml:space="preserve">: </w:t>
            </w:r>
            <w:r w:rsidRPr="00AF1443">
              <w:rPr>
                <w:rFonts w:eastAsia="Times New Roman"/>
                <w:szCs w:val="24"/>
              </w:rPr>
              <w:t>Rachels, “Active and Passive Euthanasia,” 396.</w:t>
            </w:r>
          </w:p>
          <w:p w:rsidR="00601ED6" w:rsidRPr="00AF1443" w:rsidRDefault="00601ED6" w:rsidP="003D2193">
            <w:pPr>
              <w:spacing w:before="100" w:beforeAutospacing="1" w:after="100" w:afterAutospacing="1"/>
              <w:rPr>
                <w:rFonts w:eastAsia="Times New Roman"/>
                <w:szCs w:val="24"/>
              </w:rPr>
            </w:pPr>
            <w:r w:rsidRPr="00AF1443">
              <w:rPr>
                <w:rFonts w:eastAsia="Times New Roman"/>
                <w:szCs w:val="24"/>
                <w:u w:val="single"/>
              </w:rPr>
              <w:t>Bibliography</w:t>
            </w:r>
            <w:r w:rsidRPr="00AF1443">
              <w:rPr>
                <w:rFonts w:eastAsia="Times New Roman"/>
                <w:szCs w:val="24"/>
              </w:rPr>
              <w:t xml:space="preserve">: Rachels, James. “Active and Passive Euthanasia.” In </w:t>
            </w:r>
            <w:r w:rsidRPr="00AF1443">
              <w:rPr>
                <w:rFonts w:eastAsia="Times New Roman"/>
                <w:i/>
                <w:iCs/>
                <w:szCs w:val="24"/>
              </w:rPr>
              <w:t>Biomedical Ethics</w:t>
            </w:r>
            <w:r w:rsidRPr="00AF1443">
              <w:rPr>
                <w:rFonts w:eastAsia="Times New Roman"/>
                <w:szCs w:val="24"/>
              </w:rPr>
              <w:t xml:space="preserve"> 7</w:t>
            </w:r>
            <w:r w:rsidRPr="00AF1443">
              <w:rPr>
                <w:rFonts w:eastAsia="Times New Roman"/>
                <w:szCs w:val="24"/>
                <w:vertAlign w:val="superscript"/>
              </w:rPr>
              <w:t>th</w:t>
            </w:r>
            <w:r w:rsidRPr="00AF1443">
              <w:rPr>
                <w:rFonts w:eastAsia="Times New Roman"/>
                <w:szCs w:val="24"/>
              </w:rPr>
              <w:t xml:space="preserve"> edition</w:t>
            </w:r>
            <w:r w:rsidR="00AF1443" w:rsidRPr="00AF1443">
              <w:rPr>
                <w:rFonts w:eastAsia="Times New Roman"/>
                <w:szCs w:val="24"/>
              </w:rPr>
              <w:t>, edited by David DeGrazia, Thomas Mappes, and Jeffrey Brand-Ballard, 395-399. New York: McGraw-Hill, 2011.</w:t>
            </w:r>
          </w:p>
        </w:tc>
      </w:tr>
      <w:tr w:rsidR="003D2193" w:rsidRPr="00AF1443" w:rsidTr="003D2193">
        <w:trPr>
          <w:tblCellSpacing w:w="0" w:type="dxa"/>
        </w:trPr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2193" w:rsidRPr="00AF1443" w:rsidRDefault="003D2193" w:rsidP="003D2193">
            <w:pPr>
              <w:spacing w:before="100" w:beforeAutospacing="1" w:after="100" w:afterAutospacing="1"/>
              <w:rPr>
                <w:rFonts w:eastAsia="Times New Roman"/>
                <w:szCs w:val="24"/>
              </w:rPr>
            </w:pPr>
            <w:r w:rsidRPr="00AF1443">
              <w:rPr>
                <w:rFonts w:eastAsia="Times New Roman"/>
                <w:b/>
                <w:bCs/>
                <w:szCs w:val="24"/>
              </w:rPr>
              <w:t>An article in a print journal</w:t>
            </w:r>
          </w:p>
        </w:tc>
        <w:tc>
          <w:tcPr>
            <w:tcW w:w="8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2193" w:rsidRPr="00AF1443" w:rsidRDefault="003D2193" w:rsidP="003D2193">
            <w:pPr>
              <w:spacing w:before="100" w:beforeAutospacing="1" w:after="100" w:afterAutospacing="1"/>
              <w:rPr>
                <w:rFonts w:eastAsia="Times New Roman"/>
                <w:szCs w:val="24"/>
              </w:rPr>
            </w:pPr>
            <w:r w:rsidRPr="00AF1443">
              <w:rPr>
                <w:rFonts w:eastAsia="Times New Roman"/>
                <w:szCs w:val="24"/>
                <w:u w:val="single"/>
              </w:rPr>
              <w:t>Note Style:</w:t>
            </w:r>
            <w:r w:rsidR="00AF1443">
              <w:rPr>
                <w:rFonts w:eastAsia="Times New Roman"/>
                <w:szCs w:val="24"/>
              </w:rPr>
              <w:t xml:space="preserve"> </w:t>
            </w:r>
            <w:r w:rsidRPr="00AF1443">
              <w:rPr>
                <w:rFonts w:eastAsia="Times New Roman"/>
                <w:szCs w:val="24"/>
              </w:rPr>
              <w:t xml:space="preserve">Joshua I. Weinstein, "The Market in Plato’s </w:t>
            </w:r>
            <w:r w:rsidRPr="00AF1443">
              <w:rPr>
                <w:rFonts w:eastAsia="Times New Roman"/>
                <w:i/>
                <w:iCs/>
                <w:szCs w:val="24"/>
              </w:rPr>
              <w:t>Republic</w:t>
            </w:r>
            <w:r w:rsidRPr="00AF1443">
              <w:rPr>
                <w:rFonts w:eastAsia="Times New Roman"/>
                <w:szCs w:val="24"/>
              </w:rPr>
              <w:t xml:space="preserve">," </w:t>
            </w:r>
            <w:r w:rsidRPr="00AF1443">
              <w:rPr>
                <w:rFonts w:eastAsia="Times New Roman"/>
                <w:i/>
                <w:iCs/>
                <w:szCs w:val="24"/>
              </w:rPr>
              <w:t>Classical Philology</w:t>
            </w:r>
            <w:r w:rsidRPr="00AF1443">
              <w:rPr>
                <w:rFonts w:eastAsia="Times New Roman"/>
                <w:szCs w:val="24"/>
              </w:rPr>
              <w:t xml:space="preserve"> 104 (2009): 440.</w:t>
            </w:r>
          </w:p>
          <w:p w:rsidR="003D2193" w:rsidRPr="00AF1443" w:rsidRDefault="003D2193" w:rsidP="003D2193">
            <w:pPr>
              <w:spacing w:before="100" w:beforeAutospacing="1" w:after="100" w:afterAutospacing="1"/>
              <w:rPr>
                <w:rFonts w:eastAsia="Times New Roman"/>
                <w:szCs w:val="24"/>
              </w:rPr>
            </w:pPr>
            <w:r w:rsidRPr="00AF1443">
              <w:rPr>
                <w:rFonts w:eastAsia="Times New Roman"/>
                <w:szCs w:val="24"/>
                <w:u w:val="single"/>
              </w:rPr>
              <w:t>Duplicate Note:</w:t>
            </w:r>
            <w:r w:rsidR="00AF1443">
              <w:rPr>
                <w:rFonts w:eastAsia="Times New Roman"/>
                <w:szCs w:val="24"/>
              </w:rPr>
              <w:t xml:space="preserve"> </w:t>
            </w:r>
            <w:r w:rsidRPr="00AF1443">
              <w:rPr>
                <w:rFonts w:eastAsia="Times New Roman"/>
                <w:szCs w:val="24"/>
              </w:rPr>
              <w:t xml:space="preserve">Weinstein, "Plato’s </w:t>
            </w:r>
            <w:r w:rsidRPr="00AF1443">
              <w:rPr>
                <w:rFonts w:eastAsia="Times New Roman"/>
                <w:i/>
                <w:iCs/>
                <w:szCs w:val="24"/>
              </w:rPr>
              <w:t>Republic</w:t>
            </w:r>
            <w:r w:rsidRPr="00AF1443">
              <w:rPr>
                <w:rFonts w:eastAsia="Times New Roman"/>
                <w:szCs w:val="24"/>
              </w:rPr>
              <w:t>," 452–53.</w:t>
            </w:r>
          </w:p>
          <w:p w:rsidR="003D2193" w:rsidRPr="00AF1443" w:rsidRDefault="003D2193" w:rsidP="003D2193">
            <w:pPr>
              <w:spacing w:before="100" w:beforeAutospacing="1" w:after="100" w:afterAutospacing="1"/>
              <w:rPr>
                <w:rFonts w:eastAsia="Times New Roman"/>
                <w:szCs w:val="24"/>
              </w:rPr>
            </w:pPr>
            <w:r w:rsidRPr="00AF1443">
              <w:rPr>
                <w:rFonts w:eastAsia="Times New Roman"/>
                <w:szCs w:val="24"/>
                <w:u w:val="single"/>
              </w:rPr>
              <w:t>Bibliography:</w:t>
            </w:r>
            <w:r w:rsidRPr="00AF1443">
              <w:rPr>
                <w:rFonts w:eastAsia="Times New Roman"/>
                <w:szCs w:val="24"/>
              </w:rPr>
              <w:t xml:space="preserve"> Weinstein, Joshua I. "The Market in Plato’s </w:t>
            </w:r>
            <w:r w:rsidRPr="00AF1443">
              <w:rPr>
                <w:rFonts w:eastAsia="Times New Roman"/>
                <w:i/>
                <w:iCs/>
                <w:szCs w:val="24"/>
              </w:rPr>
              <w:t>Republic</w:t>
            </w:r>
            <w:r w:rsidRPr="00AF1443">
              <w:rPr>
                <w:rFonts w:eastAsia="Times New Roman"/>
                <w:szCs w:val="24"/>
              </w:rPr>
              <w:t xml:space="preserve">." </w:t>
            </w:r>
            <w:r w:rsidRPr="00AF1443">
              <w:rPr>
                <w:rFonts w:eastAsia="Times New Roman"/>
                <w:i/>
                <w:iCs/>
                <w:szCs w:val="24"/>
              </w:rPr>
              <w:t>Classical Philology</w:t>
            </w:r>
            <w:r w:rsidRPr="00AF1443">
              <w:rPr>
                <w:rFonts w:eastAsia="Times New Roman"/>
                <w:szCs w:val="24"/>
              </w:rPr>
              <w:t xml:space="preserve"> 104 (2009): 439–58.</w:t>
            </w:r>
          </w:p>
        </w:tc>
      </w:tr>
      <w:tr w:rsidR="003D2193" w:rsidRPr="00AF1443" w:rsidTr="003D2193">
        <w:trPr>
          <w:tblCellSpacing w:w="0" w:type="dxa"/>
        </w:trPr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2193" w:rsidRPr="00AF1443" w:rsidRDefault="003D2193" w:rsidP="003D2193">
            <w:pPr>
              <w:spacing w:before="100" w:beforeAutospacing="1" w:after="100" w:afterAutospacing="1"/>
              <w:rPr>
                <w:rFonts w:eastAsia="Times New Roman"/>
                <w:szCs w:val="24"/>
              </w:rPr>
            </w:pPr>
            <w:r w:rsidRPr="00AF1443">
              <w:rPr>
                <w:rFonts w:eastAsia="Times New Roman"/>
                <w:b/>
                <w:bCs/>
                <w:szCs w:val="24"/>
              </w:rPr>
              <w:t>An article in an electronic journal</w:t>
            </w:r>
          </w:p>
        </w:tc>
        <w:tc>
          <w:tcPr>
            <w:tcW w:w="8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2193" w:rsidRPr="00AF1443" w:rsidRDefault="003D2193" w:rsidP="003D2193">
            <w:pPr>
              <w:spacing w:before="100" w:beforeAutospacing="1" w:after="100" w:afterAutospacing="1"/>
              <w:rPr>
                <w:rFonts w:eastAsia="Times New Roman"/>
                <w:szCs w:val="24"/>
              </w:rPr>
            </w:pPr>
            <w:r w:rsidRPr="00AF1443">
              <w:rPr>
                <w:rFonts w:eastAsia="Times New Roman"/>
                <w:szCs w:val="24"/>
                <w:u w:val="single"/>
              </w:rPr>
              <w:t>Note Style</w:t>
            </w:r>
            <w:r w:rsidR="00AF1443">
              <w:rPr>
                <w:rFonts w:eastAsia="Times New Roman"/>
                <w:szCs w:val="24"/>
              </w:rPr>
              <w:t xml:space="preserve">: </w:t>
            </w:r>
            <w:r w:rsidRPr="00AF1443">
              <w:rPr>
                <w:rFonts w:eastAsia="Times New Roman"/>
                <w:szCs w:val="24"/>
              </w:rPr>
              <w:t xml:space="preserve">Gueorgi Kossinets and Duncan J. Watts, “Origins of Homophily in an Evolving Social Network,” </w:t>
            </w:r>
            <w:r w:rsidRPr="00AF1443">
              <w:rPr>
                <w:rFonts w:eastAsia="Times New Roman"/>
                <w:i/>
                <w:iCs/>
                <w:szCs w:val="24"/>
              </w:rPr>
              <w:t>American Journal of Sociology</w:t>
            </w:r>
            <w:r w:rsidRPr="00AF1443">
              <w:rPr>
                <w:rFonts w:eastAsia="Times New Roman"/>
                <w:szCs w:val="24"/>
              </w:rPr>
              <w:t xml:space="preserve"> 115 (2009): 411, accessed February 28, 2010, doi</w:t>
            </w:r>
            <w:proofErr w:type="gramStart"/>
            <w:r w:rsidRPr="00AF1443">
              <w:rPr>
                <w:rFonts w:eastAsia="Times New Roman"/>
                <w:szCs w:val="24"/>
              </w:rPr>
              <w:t>:10.1086</w:t>
            </w:r>
            <w:proofErr w:type="gramEnd"/>
            <w:r w:rsidRPr="00AF1443">
              <w:rPr>
                <w:rFonts w:eastAsia="Times New Roman"/>
                <w:szCs w:val="24"/>
              </w:rPr>
              <w:t>/599247.</w:t>
            </w:r>
          </w:p>
          <w:p w:rsidR="003D2193" w:rsidRPr="00AF1443" w:rsidRDefault="003D2193" w:rsidP="003D2193">
            <w:pPr>
              <w:spacing w:before="100" w:beforeAutospacing="1" w:after="100" w:afterAutospacing="1"/>
              <w:rPr>
                <w:rFonts w:eastAsia="Times New Roman"/>
                <w:szCs w:val="24"/>
              </w:rPr>
            </w:pPr>
            <w:r w:rsidRPr="00AF1443">
              <w:rPr>
                <w:rFonts w:eastAsia="Times New Roman"/>
                <w:szCs w:val="24"/>
                <w:u w:val="single"/>
              </w:rPr>
              <w:t>Duplicate Note:</w:t>
            </w:r>
            <w:r w:rsidRPr="00AF1443">
              <w:rPr>
                <w:rFonts w:eastAsia="Times New Roman"/>
                <w:szCs w:val="24"/>
              </w:rPr>
              <w:t xml:space="preserve"> Kossinets and Watts, “Origins of Homophily,” 439.</w:t>
            </w:r>
          </w:p>
          <w:p w:rsidR="003D2193" w:rsidRPr="00AF1443" w:rsidRDefault="003D2193" w:rsidP="003D2193">
            <w:pPr>
              <w:spacing w:before="100" w:beforeAutospacing="1" w:after="100" w:afterAutospacing="1"/>
              <w:rPr>
                <w:rFonts w:eastAsia="Times New Roman"/>
                <w:szCs w:val="24"/>
              </w:rPr>
            </w:pPr>
            <w:r w:rsidRPr="00AF1443">
              <w:rPr>
                <w:rFonts w:eastAsia="Times New Roman"/>
                <w:szCs w:val="24"/>
                <w:u w:val="single"/>
              </w:rPr>
              <w:t xml:space="preserve">Bibliography: </w:t>
            </w:r>
            <w:r w:rsidRPr="00AF1443">
              <w:rPr>
                <w:rFonts w:eastAsia="Times New Roman"/>
                <w:szCs w:val="24"/>
              </w:rPr>
              <w:t xml:space="preserve">Kossinets, Gueorgi, and Duncan J. Watts. “Origins of Homophily in an Evolving Social Network.” </w:t>
            </w:r>
            <w:r w:rsidRPr="00AF1443">
              <w:rPr>
                <w:rFonts w:eastAsia="Times New Roman"/>
                <w:i/>
                <w:iCs/>
                <w:szCs w:val="24"/>
              </w:rPr>
              <w:t>American Journal of Sociology</w:t>
            </w:r>
            <w:r w:rsidRPr="00AF1443">
              <w:rPr>
                <w:rFonts w:eastAsia="Times New Roman"/>
                <w:szCs w:val="24"/>
              </w:rPr>
              <w:t xml:space="preserve"> 115 (2009): 405–50. Accessed February 28, 2010. </w:t>
            </w:r>
            <w:proofErr w:type="gramStart"/>
            <w:r w:rsidRPr="00AF1443">
              <w:rPr>
                <w:rFonts w:eastAsia="Times New Roman"/>
                <w:szCs w:val="24"/>
              </w:rPr>
              <w:t>doi:</w:t>
            </w:r>
            <w:proofErr w:type="gramEnd"/>
            <w:r w:rsidRPr="00AF1443">
              <w:rPr>
                <w:rFonts w:eastAsia="Times New Roman"/>
                <w:szCs w:val="24"/>
              </w:rPr>
              <w:t>10.1086/599247.</w:t>
            </w:r>
          </w:p>
        </w:tc>
      </w:tr>
      <w:tr w:rsidR="003D2193" w:rsidRPr="00AF1443" w:rsidTr="003D2193">
        <w:trPr>
          <w:tblCellSpacing w:w="0" w:type="dxa"/>
        </w:trPr>
        <w:tc>
          <w:tcPr>
            <w:tcW w:w="2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2193" w:rsidRPr="00AF1443" w:rsidRDefault="003D2193" w:rsidP="003D2193">
            <w:pPr>
              <w:spacing w:before="100" w:beforeAutospacing="1" w:after="100" w:afterAutospacing="1"/>
              <w:rPr>
                <w:rFonts w:eastAsia="Times New Roman"/>
                <w:szCs w:val="24"/>
              </w:rPr>
            </w:pPr>
            <w:r w:rsidRPr="00AF1443">
              <w:rPr>
                <w:rFonts w:eastAsia="Times New Roman"/>
                <w:b/>
                <w:bCs/>
                <w:szCs w:val="24"/>
              </w:rPr>
              <w:t>A website</w:t>
            </w:r>
          </w:p>
        </w:tc>
        <w:tc>
          <w:tcPr>
            <w:tcW w:w="8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2193" w:rsidRPr="00AF1443" w:rsidRDefault="003D2193" w:rsidP="003D2193">
            <w:pPr>
              <w:spacing w:before="100" w:beforeAutospacing="1" w:after="100" w:afterAutospacing="1"/>
              <w:rPr>
                <w:rFonts w:eastAsia="Times New Roman"/>
                <w:szCs w:val="24"/>
              </w:rPr>
            </w:pPr>
            <w:r w:rsidRPr="00AF1443">
              <w:rPr>
                <w:rFonts w:eastAsia="Times New Roman"/>
                <w:szCs w:val="24"/>
                <w:u w:val="single"/>
              </w:rPr>
              <w:t xml:space="preserve">Note Style: </w:t>
            </w:r>
            <w:r w:rsidRPr="00AF1443">
              <w:rPr>
                <w:rFonts w:eastAsia="Times New Roman"/>
                <w:szCs w:val="24"/>
              </w:rPr>
              <w:t>“Google Privacy Policy,” last modified March 11, 2009, http://www.google.com/intl/en/privacypolicy.html.</w:t>
            </w:r>
          </w:p>
          <w:p w:rsidR="003D2193" w:rsidRPr="00AF1443" w:rsidRDefault="003D2193" w:rsidP="003D2193">
            <w:pPr>
              <w:spacing w:before="100" w:beforeAutospacing="1" w:after="100" w:afterAutospacing="1"/>
              <w:rPr>
                <w:rFonts w:eastAsia="Times New Roman"/>
                <w:szCs w:val="24"/>
              </w:rPr>
            </w:pPr>
            <w:r w:rsidRPr="00AF1443">
              <w:rPr>
                <w:rFonts w:eastAsia="Times New Roman"/>
                <w:szCs w:val="24"/>
                <w:u w:val="single"/>
              </w:rPr>
              <w:t xml:space="preserve">Duplicate Note: </w:t>
            </w:r>
            <w:r w:rsidRPr="00AF1443">
              <w:rPr>
                <w:rFonts w:eastAsia="Times New Roman"/>
                <w:szCs w:val="24"/>
              </w:rPr>
              <w:t>“Google Privacy Policy.”</w:t>
            </w:r>
          </w:p>
          <w:p w:rsidR="003D2193" w:rsidRPr="00AF1443" w:rsidRDefault="003D2193" w:rsidP="003D2193">
            <w:pPr>
              <w:spacing w:before="100" w:beforeAutospacing="1" w:after="100" w:afterAutospacing="1"/>
              <w:rPr>
                <w:rFonts w:eastAsia="Times New Roman"/>
                <w:szCs w:val="24"/>
              </w:rPr>
            </w:pPr>
            <w:r w:rsidRPr="00AF1443">
              <w:rPr>
                <w:rFonts w:eastAsia="Times New Roman"/>
                <w:szCs w:val="24"/>
                <w:u w:val="single"/>
              </w:rPr>
              <w:t xml:space="preserve">Bibliography: </w:t>
            </w:r>
            <w:r w:rsidRPr="00AF1443">
              <w:rPr>
                <w:rFonts w:eastAsia="Times New Roman"/>
                <w:szCs w:val="24"/>
              </w:rPr>
              <w:t>Google. “Google Privacy Policy.” Last modified March 11, 2009. http://www.google.com/intl/en/privacypolicy.html.</w:t>
            </w:r>
          </w:p>
        </w:tc>
      </w:tr>
    </w:tbl>
    <w:p w:rsidR="00973C78" w:rsidRDefault="00973C78"/>
    <w:p w:rsidR="00601ED6" w:rsidRPr="00973C78" w:rsidRDefault="00973C78">
      <w:r w:rsidRPr="00973C78">
        <w:t>NOTE: Works cited in bibliography should be in alphabetical order by the authors</w:t>
      </w:r>
      <w:r>
        <w:t>’</w:t>
      </w:r>
      <w:r w:rsidRPr="00973C78">
        <w:t xml:space="preserve"> last names.</w:t>
      </w:r>
    </w:p>
    <w:sectPr w:rsidR="00601ED6" w:rsidRPr="00973C78" w:rsidSect="003D219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193"/>
    <w:rsid w:val="000D6889"/>
    <w:rsid w:val="003D2193"/>
    <w:rsid w:val="00601ED6"/>
    <w:rsid w:val="006B6FD7"/>
    <w:rsid w:val="00973C78"/>
    <w:rsid w:val="00AF1443"/>
    <w:rsid w:val="00C92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D2193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Strong">
    <w:name w:val="Strong"/>
    <w:uiPriority w:val="22"/>
    <w:qFormat/>
    <w:rsid w:val="003D2193"/>
    <w:rPr>
      <w:b/>
      <w:bCs/>
    </w:rPr>
  </w:style>
  <w:style w:type="character" w:styleId="Emphasis">
    <w:name w:val="Emphasis"/>
    <w:uiPriority w:val="20"/>
    <w:qFormat/>
    <w:rsid w:val="003D219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D2193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Strong">
    <w:name w:val="Strong"/>
    <w:uiPriority w:val="22"/>
    <w:qFormat/>
    <w:rsid w:val="003D2193"/>
    <w:rPr>
      <w:b/>
      <w:bCs/>
    </w:rPr>
  </w:style>
  <w:style w:type="character" w:styleId="Emphasis">
    <w:name w:val="Emphasis"/>
    <w:uiPriority w:val="20"/>
    <w:qFormat/>
    <w:rsid w:val="003D219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9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5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7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8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19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0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05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Aaron Simmons</dc:creator>
  <cp:lastModifiedBy>Aaron Simmons</cp:lastModifiedBy>
  <cp:revision>2</cp:revision>
  <dcterms:created xsi:type="dcterms:W3CDTF">2016-09-20T19:12:00Z</dcterms:created>
  <dcterms:modified xsi:type="dcterms:W3CDTF">2016-09-20T19:12:00Z</dcterms:modified>
</cp:coreProperties>
</file>